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8B" w:rsidRPr="00273F8B" w:rsidRDefault="00273F8B" w:rsidP="00273F8B">
      <w:pPr>
        <w:pStyle w:val="a5"/>
        <w:jc w:val="center"/>
        <w:rPr>
          <w:b/>
          <w:sz w:val="28"/>
          <w:szCs w:val="28"/>
          <w:lang w:eastAsia="ru-RU"/>
        </w:rPr>
      </w:pPr>
      <w:bookmarkStart w:id="0" w:name="_GoBack"/>
      <w:r w:rsidRPr="00273F8B">
        <w:rPr>
          <w:b/>
          <w:sz w:val="28"/>
          <w:szCs w:val="28"/>
          <w:lang w:eastAsia="ru-RU"/>
        </w:rPr>
        <w:t>Закупка из одного источника № 2053251</w:t>
      </w:r>
    </w:p>
    <w:p w:rsidR="00273F8B" w:rsidRPr="00273F8B" w:rsidRDefault="00273F8B" w:rsidP="00273F8B">
      <w:pPr>
        <w:pStyle w:val="a5"/>
        <w:jc w:val="center"/>
        <w:rPr>
          <w:b/>
          <w:sz w:val="28"/>
          <w:szCs w:val="28"/>
          <w:lang w:eastAsia="ru-RU"/>
        </w:rPr>
      </w:pPr>
      <w:r w:rsidRPr="00273F8B">
        <w:rPr>
          <w:b/>
          <w:sz w:val="28"/>
          <w:szCs w:val="28"/>
          <w:lang w:eastAsia="ru-RU"/>
        </w:rPr>
        <w:t xml:space="preserve">Насос водяной </w:t>
      </w:r>
      <w:proofErr w:type="spellStart"/>
      <w:r w:rsidRPr="00273F8B">
        <w:rPr>
          <w:b/>
          <w:sz w:val="28"/>
          <w:szCs w:val="28"/>
          <w:lang w:eastAsia="ru-RU"/>
        </w:rPr>
        <w:t>ГАЗель</w:t>
      </w:r>
      <w:proofErr w:type="spellEnd"/>
      <w:r w:rsidRPr="00273F8B">
        <w:rPr>
          <w:b/>
          <w:sz w:val="28"/>
          <w:szCs w:val="28"/>
          <w:lang w:eastAsia="ru-RU"/>
        </w:rPr>
        <w:t xml:space="preserve"> Глушитель </w:t>
      </w:r>
      <w:proofErr w:type="spellStart"/>
      <w:r w:rsidRPr="00273F8B">
        <w:rPr>
          <w:b/>
          <w:sz w:val="28"/>
          <w:szCs w:val="28"/>
          <w:lang w:eastAsia="ru-RU"/>
        </w:rPr>
        <w:t>ГАЗель</w:t>
      </w:r>
      <w:proofErr w:type="spellEnd"/>
      <w:r w:rsidRPr="00273F8B">
        <w:rPr>
          <w:b/>
          <w:sz w:val="28"/>
          <w:szCs w:val="28"/>
          <w:lang w:eastAsia="ru-RU"/>
        </w:rPr>
        <w:t xml:space="preserve"> Регулятор холостого хода ВАЗ Подшипник полуоси ВАЗ Втулка полуоси ВАЗ Колодки тормозные ВАЗ Генератор ВАЗ Масляный фильтр </w:t>
      </w:r>
      <w:proofErr w:type="spellStart"/>
      <w:r w:rsidRPr="00273F8B">
        <w:rPr>
          <w:b/>
          <w:sz w:val="28"/>
          <w:szCs w:val="28"/>
          <w:lang w:eastAsia="ru-RU"/>
        </w:rPr>
        <w:t>ГАЗель</w:t>
      </w:r>
      <w:proofErr w:type="spellEnd"/>
      <w:r w:rsidRPr="00273F8B">
        <w:rPr>
          <w:b/>
          <w:sz w:val="28"/>
          <w:szCs w:val="28"/>
          <w:lang w:eastAsia="ru-RU"/>
        </w:rPr>
        <w:t xml:space="preserve"> Воздушный фильтр </w:t>
      </w:r>
      <w:proofErr w:type="spellStart"/>
      <w:r w:rsidRPr="00273F8B">
        <w:rPr>
          <w:b/>
          <w:sz w:val="28"/>
          <w:szCs w:val="28"/>
          <w:lang w:eastAsia="ru-RU"/>
        </w:rPr>
        <w:t>ГАЗель</w:t>
      </w:r>
      <w:proofErr w:type="spellEnd"/>
      <w:r w:rsidRPr="00273F8B">
        <w:rPr>
          <w:b/>
          <w:sz w:val="28"/>
          <w:szCs w:val="28"/>
          <w:lang w:eastAsia="ru-RU"/>
        </w:rPr>
        <w:t xml:space="preserve"> Клемма АКБ Глушитель ПАЗ Сальник полуоси ВАЗ Фильтр...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73F8B" w:rsidRPr="00273F8B" w:rsidTr="00273F8B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3F8B" w:rsidRPr="00273F8B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273F8B" w:rsidRPr="00273F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bookmarkEnd w:id="0"/>
                      <w:p w:rsidR="00273F8B" w:rsidRPr="00273F8B" w:rsidRDefault="00273F8B" w:rsidP="00273F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273F8B" w:rsidRPr="00273F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123 400,00 тенге (цена с НДС, НДС: 12%)</w:t>
                        </w:r>
                      </w:p>
                    </w:tc>
                  </w:tr>
                  <w:tr w:rsidR="00273F8B" w:rsidRPr="00273F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273F8B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AF19380" wp14:editId="30B46573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123 400,00 тенге (цена с НДС)</w:t>
                        </w:r>
                      </w:p>
                    </w:tc>
                  </w:tr>
                  <w:tr w:rsidR="00273F8B" w:rsidRPr="00273F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273F8B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273F8B" w:rsidRPr="00273F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20.05.2024 08:57</w:t>
                        </w:r>
                      </w:p>
                    </w:tc>
                  </w:tr>
                  <w:tr w:rsidR="00273F8B" w:rsidRPr="00273F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color w:val="E4002B"/>
                            <w:sz w:val="24"/>
                            <w:szCs w:val="24"/>
                            <w:lang w:eastAsia="ru-RU"/>
                          </w:rPr>
                          <w:t>21.05.2024 09:00</w:t>
                        </w:r>
                      </w:p>
                    </w:tc>
                  </w:tr>
                  <w:tr w:rsidR="00273F8B" w:rsidRPr="00273F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20.05.2024 08:57, </w:t>
                        </w:r>
                        <w:hyperlink r:id="rId8" w:tgtFrame="_blank" w:tooltip="Отправить личное сообщение" w:history="1">
                          <w:r w:rsidRPr="00273F8B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273F8B" w:rsidRPr="00273F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273F8B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273F8B" w:rsidRPr="00273F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273F8B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205AA4C" wp14:editId="7E62EBF7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273F8B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273F8B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273F8B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273F8B" w:rsidRPr="00273F8B" w:rsidRDefault="00273F8B" w:rsidP="00273F8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73F8B" w:rsidRPr="00273F8B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F8B" w:rsidRPr="00273F8B" w:rsidRDefault="00273F8B" w:rsidP="00273F8B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273F8B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273F8B" w:rsidRPr="00273F8B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273F8B" w:rsidRPr="00273F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273F8B" w:rsidRPr="00273F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273F8B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150A0ED" wp14:editId="3D3AA041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73F8B" w:rsidRPr="00273F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73F8B" w:rsidRPr="00273F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273F8B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D22B6B5" wp14:editId="07C7F01C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73F8B" w:rsidRPr="00273F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273F8B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C53180C" wp14:editId="3ACE4ED7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73F8B" w:rsidRPr="00273F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273F8B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273F8B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шаблон Договора.doc</w:t>
                          </w:r>
                        </w:hyperlink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(91 КБ)</w:t>
                        </w:r>
                      </w:p>
                      <w:p w:rsidR="00273F8B" w:rsidRPr="00273F8B" w:rsidRDefault="00273F8B" w:rsidP="00273F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tgtFrame="signature" w:history="1">
                          <w:r w:rsidRPr="00273F8B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273F8B" w:rsidRPr="00273F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273F8B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7B356B7" wp14:editId="56125E54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100% предоплата</w:t>
                        </w:r>
                      </w:p>
                    </w:tc>
                  </w:tr>
                  <w:tr w:rsidR="00273F8B" w:rsidRPr="00273F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</w:t>
                        </w:r>
                        <w:r w:rsidRPr="00273F8B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9B9B108" wp14:editId="03C944B2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3-5 рабочих дней с момента 100% предоплаты</w:t>
                        </w:r>
                      </w:p>
                    </w:tc>
                  </w:tr>
                  <w:tr w:rsidR="00273F8B" w:rsidRPr="00273F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273F8B" w:rsidRPr="00273F8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Комментарии:</w:t>
                        </w: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Поставляемый товар должен быть новым товаром, (товаром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                  </w:r>
                        <w:proofErr w:type="gramEnd"/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Некачественный товар подлежит замене.</w:t>
                        </w:r>
                      </w:p>
                    </w:tc>
                  </w:tr>
                  <w:tr w:rsidR="00273F8B" w:rsidRPr="00273F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273F8B" w:rsidRPr="00273F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73F8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73F8B" w:rsidRPr="00273F8B" w:rsidRDefault="00273F8B" w:rsidP="00273F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273F8B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273F8B" w:rsidRPr="00273F8B" w:rsidRDefault="00273F8B" w:rsidP="00273F8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73F8B" w:rsidRPr="00273F8B" w:rsidRDefault="00273F8B" w:rsidP="0027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2715F" w:rsidRDefault="0012715F"/>
    <w:sectPr w:rsidR="0012715F" w:rsidSect="00273F8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A1C70"/>
    <w:multiLevelType w:val="multilevel"/>
    <w:tmpl w:val="58CC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A0"/>
    <w:rsid w:val="0012715F"/>
    <w:rsid w:val="00273F8B"/>
    <w:rsid w:val="0042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F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73F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F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73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263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227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3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3251&amp;action=signed_doc&amp;key=auc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3251&amp;switch_price_both_view=1" TargetMode="External"/><Relationship Id="rId12" Type="http://schemas.openxmlformats.org/officeDocument/2006/relationships/hyperlink" Target="https://www.ets-tender.kz/market/view.html?id=2053251&amp;action=signed_doc&amp;key=auction_d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5455e86d&amp;file=file%2F1116196.doc&amp;title=%D1%88%D0%B0%D0%B1%D0%BB%D0%BE%D0%BD+%D0%94%D0%BE%D0%B3%D0%BE%D0%B2%D0%BE%D1%80%D0%B0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2024-05-21T04:26:00Z</dcterms:created>
  <dcterms:modified xsi:type="dcterms:W3CDTF">2024-05-21T04:27:00Z</dcterms:modified>
</cp:coreProperties>
</file>