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66" w:rsidRPr="00B95566" w:rsidRDefault="00B95566" w:rsidP="00B95566">
      <w:pPr>
        <w:pStyle w:val="a5"/>
        <w:jc w:val="center"/>
        <w:rPr>
          <w:b/>
          <w:lang w:eastAsia="ru-RU"/>
        </w:rPr>
      </w:pPr>
      <w:r w:rsidRPr="00B95566">
        <w:rPr>
          <w:b/>
          <w:lang w:eastAsia="ru-RU"/>
        </w:rPr>
        <w:t>Запрос ценовых предложений № 2061581</w:t>
      </w:r>
    </w:p>
    <w:p w:rsidR="00B95566" w:rsidRPr="00B95566" w:rsidRDefault="00B95566" w:rsidP="00B95566">
      <w:pPr>
        <w:pStyle w:val="a5"/>
        <w:jc w:val="center"/>
        <w:rPr>
          <w:b/>
          <w:lang w:eastAsia="ru-RU"/>
        </w:rPr>
      </w:pPr>
      <w:r w:rsidRPr="00B95566">
        <w:rPr>
          <w:b/>
          <w:lang w:eastAsia="ru-RU"/>
        </w:rPr>
        <w:t xml:space="preserve">выполнение работ по техническому обследованию (выдачи заключения) по итогам проведения капитального ремонта компрессора (насоса) АУ 200-07-00 </w:t>
      </w:r>
      <w:proofErr w:type="gramStart"/>
      <w:r w:rsidRPr="00B95566">
        <w:rPr>
          <w:b/>
          <w:lang w:eastAsia="ru-RU"/>
        </w:rPr>
        <w:t>инвентарный</w:t>
      </w:r>
      <w:proofErr w:type="gramEnd"/>
      <w:r w:rsidRPr="00B95566">
        <w:rPr>
          <w:b/>
          <w:lang w:eastAsia="ru-RU"/>
        </w:rPr>
        <w:t xml:space="preserve"> №1851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95566" w:rsidRPr="00B95566" w:rsidTr="00B95566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95566" w:rsidRPr="00B9556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281332.000.000205</w:t>
                        </w: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  Комплект запасных частей инструментов и принадлежностей для ремонта компрессора</w:t>
                        </w:r>
                      </w:p>
                    </w:tc>
                  </w:tr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150 000,00 тенге (цена с НДС, НДС: 12%)</w:t>
                        </w:r>
                      </w:p>
                    </w:tc>
                  </w:tr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B95566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100BF32" wp14:editId="74B3D321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150 000,00 тенге (цена с НДС)</w:t>
                        </w:r>
                      </w:p>
                    </w:tc>
                  </w:tr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B95566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04.12.2024 09:34</w:t>
                        </w:r>
                      </w:p>
                    </w:tc>
                  </w:tr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11.12.2024 10:45</w:t>
                        </w:r>
                      </w:p>
                    </w:tc>
                  </w:tr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04.12.2024 09:34, </w:t>
                        </w:r>
                        <w:hyperlink r:id="rId8" w:tgtFrame="_blank" w:tooltip="Отправить личное сообщение" w:history="1">
                          <w:r w:rsidRPr="00B95566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B95566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B95566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31B77D65" wp14:editId="67524E73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B95566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B95566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B95566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B95566" w:rsidRPr="00B95566" w:rsidRDefault="00B95566" w:rsidP="00B955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B95566" w:rsidRPr="00B95566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5566" w:rsidRPr="00B95566" w:rsidRDefault="00B95566" w:rsidP="00B95566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B95566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B95566" w:rsidRPr="00B9556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B95566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B988BE9" wp14:editId="063C4656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B95566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162F8CE" wp14:editId="5CEFCD14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B95566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69B54B9" wp14:editId="400E42F4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B95566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proofErr w:type="gramStart"/>
                          <w:r w:rsidRPr="00B9556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Проект-договора</w:t>
                          </w:r>
                          <w:proofErr w:type="gramEnd"/>
                          <w:r w:rsidRPr="00B9556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(2).doc</w:t>
                          </w:r>
                        </w:hyperlink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 (116 КБ)</w:t>
                        </w:r>
                      </w:p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history="1">
                          <w:r w:rsidRPr="00B9556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Pr="00B95566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B95566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E2B6D51" wp14:editId="630DC518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Путём предоплаты до начала выполнения работ в размере 30% от суммы договора, что составляет 45 000 (сорок пять тысяч) тенге.</w:t>
                        </w: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Оставшиеся 70% от суммы договора, что составляет 105 000 </w:t>
                        </w:r>
                        <w:proofErr w:type="gramStart"/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( </w:t>
                        </w:r>
                        <w:proofErr w:type="gramEnd"/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сто пять тысяч ) тенге оплачиваются Заказчиком на основании, представленного Исполнителем акта выполненных работ и счета-фактуры, в срок не позднее 30 (тридцати) банковских дней после подписания акта выполненных работ Заказчиком</w:t>
                        </w:r>
                      </w:p>
                    </w:tc>
                  </w:tr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B95566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24F0F8C" wp14:editId="4E1441EE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в течение 5 (пяти)</w:t>
                        </w:r>
                      </w:p>
                    </w:tc>
                  </w:tr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B95566" w:rsidRPr="00B9556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95566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95566" w:rsidRPr="00B95566" w:rsidRDefault="00B95566" w:rsidP="00B9556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4" w:tgtFrame="signature" w:history="1">
                          <w:r w:rsidRPr="00B95566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B95566" w:rsidRPr="00B95566" w:rsidRDefault="00B95566" w:rsidP="00B95566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B95566" w:rsidRPr="00B95566" w:rsidRDefault="00B95566" w:rsidP="00B9556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56655" w:rsidRPr="00B95566" w:rsidRDefault="00356655">
      <w:bookmarkStart w:id="0" w:name="_GoBack"/>
      <w:bookmarkEnd w:id="0"/>
    </w:p>
    <w:sectPr w:rsidR="00356655" w:rsidRPr="00B95566" w:rsidSect="00B955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15F3"/>
    <w:multiLevelType w:val="multilevel"/>
    <w:tmpl w:val="62C4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EA"/>
    <w:rsid w:val="00356655"/>
    <w:rsid w:val="00B95566"/>
    <w:rsid w:val="00E4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5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55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5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5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3909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800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8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1581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1581&amp;switch_price_both_view=1" TargetMode="External"/><Relationship Id="rId12" Type="http://schemas.openxmlformats.org/officeDocument/2006/relationships/hyperlink" Target="https://www.ets-tender.kz/market/edit.html?id=2061581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7a163218&amp;file=file%2F1274586.doc&amp;title=%D0%9F%D1%80%D0%BE%D0%B5%D0%BA%D1%82-%D0%B4%D0%BE%D0%B3%D0%BE%D0%B2%D0%BE%D1%80%D0%B0+%282%29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1581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2024-12-04T04:45:00Z</dcterms:created>
  <dcterms:modified xsi:type="dcterms:W3CDTF">2024-12-04T04:46:00Z</dcterms:modified>
</cp:coreProperties>
</file>